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B972D" w14:textId="77777777" w:rsidR="00D5258A" w:rsidRPr="00D5258A" w:rsidRDefault="00D5258A" w:rsidP="00D5258A">
      <w:pPr>
        <w:keepNext/>
        <w:keepLines/>
        <w:widowControl w:val="0"/>
        <w:autoSpaceDE w:val="0"/>
        <w:autoSpaceDN w:val="0"/>
        <w:spacing w:after="80" w:line="240" w:lineRule="auto"/>
        <w:outlineLvl w:val="0"/>
        <w:rPr>
          <w:rFonts w:eastAsia="Yu Gothic Light"/>
          <w:b/>
          <w:bCs/>
          <w:color w:val="auto"/>
          <w:sz w:val="24"/>
          <w:szCs w:val="24"/>
          <w:shd w:val="clear" w:color="auto" w:fill="auto"/>
        </w:rPr>
      </w:pPr>
      <w:r w:rsidRPr="00D5258A">
        <w:rPr>
          <w:rFonts w:eastAsia="Yu Gothic Light"/>
          <w:b/>
          <w:bCs/>
          <w:color w:val="auto"/>
          <w:sz w:val="24"/>
          <w:szCs w:val="24"/>
          <w:shd w:val="clear" w:color="auto" w:fill="auto"/>
        </w:rPr>
        <w:t>Annual Public Notification of Career and Technical Education (CTE) Opportunities</w:t>
      </w:r>
    </w:p>
    <w:p w14:paraId="47938458" w14:textId="77777777" w:rsidR="00D5258A" w:rsidRPr="00D5258A" w:rsidRDefault="00D5258A" w:rsidP="00D5258A">
      <w:pPr>
        <w:widowControl w:val="0"/>
        <w:autoSpaceDE w:val="0"/>
        <w:autoSpaceDN w:val="0"/>
        <w:spacing w:after="240" w:line="240" w:lineRule="auto"/>
        <w:rPr>
          <w:rFonts w:eastAsia="Calibri"/>
          <w:b/>
          <w:bCs/>
          <w:color w:val="auto"/>
          <w:sz w:val="22"/>
          <w:szCs w:val="28"/>
          <w:shd w:val="clear" w:color="auto" w:fill="auto"/>
        </w:rPr>
      </w:pPr>
      <w:r w:rsidRPr="00D5258A">
        <w:rPr>
          <w:rFonts w:eastAsia="Calibri"/>
          <w:b/>
          <w:bCs/>
          <w:color w:val="auto"/>
          <w:sz w:val="22"/>
          <w:szCs w:val="28"/>
          <w:shd w:val="clear" w:color="auto" w:fill="auto"/>
        </w:rPr>
        <w:t>Tarrant County College</w:t>
      </w:r>
    </w:p>
    <w:p w14:paraId="01490C7F"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Tarrant County College (TCC) offers a wide range of Career and Technical Education (CTE) programs designed to prepare students for high-demand careers and workforce success. These programs are offered across six campuses (</w:t>
      </w:r>
      <w:hyperlink r:id="rId5" w:history="1">
        <w:r w:rsidRPr="00D5258A">
          <w:rPr>
            <w:rFonts w:eastAsia="Calibri"/>
            <w:color w:val="467886"/>
            <w:sz w:val="20"/>
            <w:szCs w:val="24"/>
            <w:u w:val="single"/>
            <w:shd w:val="clear" w:color="auto" w:fill="auto"/>
          </w:rPr>
          <w:t>Locations</w:t>
        </w:r>
      </w:hyperlink>
      <w:r w:rsidRPr="00D5258A">
        <w:rPr>
          <w:rFonts w:eastAsia="Calibri"/>
          <w:color w:val="auto"/>
          <w:sz w:val="20"/>
          <w:szCs w:val="24"/>
          <w:shd w:val="clear" w:color="auto" w:fill="auto"/>
        </w:rPr>
        <w:t>) and instructional modalities to support student access and completion.</w:t>
      </w:r>
    </w:p>
    <w:p w14:paraId="6A712685"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Tarrant County College does not discriminate on the basis of race, color, religion, national origin, sex, age, disability, or any other legally protected status in its educational programs, services, or activities, including CTE programs. TCC is committed to providing access to all individuals and ensuring that all students, employees, and members of the public have the opportunity to participate in and benefit from its programs.</w:t>
      </w:r>
    </w:p>
    <w:p w14:paraId="11DFB9FA"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Tarrant County College assures that lack of English language proficiency will not be a barrier to admission or participation in CTE programs. Support services are available to assist students in achieving academic and career success.</w:t>
      </w:r>
    </w:p>
    <w:p w14:paraId="4EEE5BD9"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 xml:space="preserve">TCC offers CTE programs aligned to workforce needs within the following five Pathways: Arts and Humanities, Business and Industry, Health Science, Human and Public Service, and Science, Technology, Engineering, and Mathematics (STEM). These programs include Associate of Applied Science degrees, certificates, and workforce credentials designed to lead directly to employment or career advancement. A full listing of programs is available in the TCC online  </w:t>
      </w:r>
      <w:hyperlink r:id="rId6" w:history="1">
        <w:r w:rsidRPr="00D5258A">
          <w:rPr>
            <w:rFonts w:eastAsia="Calibri"/>
            <w:color w:val="467886"/>
            <w:sz w:val="20"/>
            <w:szCs w:val="24"/>
            <w:u w:val="single"/>
            <w:shd w:val="clear" w:color="auto" w:fill="auto"/>
          </w:rPr>
          <w:t>Catalog</w:t>
        </w:r>
      </w:hyperlink>
      <w:r w:rsidRPr="00D5258A">
        <w:rPr>
          <w:rFonts w:eastAsia="Calibri"/>
          <w:color w:val="auto"/>
          <w:sz w:val="20"/>
          <w:szCs w:val="24"/>
          <w:shd w:val="clear" w:color="auto" w:fill="auto"/>
        </w:rPr>
        <w:t xml:space="preserve"> and </w:t>
      </w:r>
      <w:hyperlink r:id="rId7" w:history="1">
        <w:r w:rsidRPr="00D5258A">
          <w:rPr>
            <w:rFonts w:eastAsia="Calibri"/>
            <w:color w:val="467886"/>
            <w:sz w:val="20"/>
            <w:szCs w:val="24"/>
            <w:u w:val="single"/>
            <w:shd w:val="clear" w:color="auto" w:fill="auto"/>
          </w:rPr>
          <w:t>Continuing Education Catalog</w:t>
        </w:r>
      </w:hyperlink>
    </w:p>
    <w:p w14:paraId="29467E3B"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Tarrant County College is an open-admission institution (</w:t>
      </w:r>
      <w:hyperlink r:id="rId8">
        <w:r w:rsidRPr="00D5258A">
          <w:rPr>
            <w:rFonts w:eastAsia="Calibri"/>
            <w:color w:val="467886"/>
            <w:sz w:val="20"/>
            <w:szCs w:val="24"/>
            <w:u w:val="single"/>
            <w:shd w:val="clear" w:color="auto" w:fill="auto"/>
          </w:rPr>
          <w:t>Admissions</w:t>
        </w:r>
      </w:hyperlink>
      <w:r w:rsidRPr="00D5258A">
        <w:rPr>
          <w:rFonts w:eastAsia="Calibri"/>
          <w:color w:val="auto"/>
          <w:sz w:val="20"/>
          <w:szCs w:val="24"/>
          <w:shd w:val="clear" w:color="auto" w:fill="auto"/>
        </w:rPr>
        <w:t>). This means any person can be admitted, regardless of their educational background. We do not require standardized tests such as the SAT or ACT, and there is no application fee.</w:t>
      </w:r>
    </w:p>
    <w:p w14:paraId="10657494"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However, foreign nationals who wish to study at TCC under the F-1 visa program have an application fee and additional requirements which must be met before TCC can issue the federal document they need to apply for this visa. Learn about </w:t>
      </w:r>
      <w:hyperlink r:id="rId9" w:history="1">
        <w:r w:rsidRPr="00D5258A">
          <w:rPr>
            <w:rFonts w:eastAsia="Calibri"/>
            <w:color w:val="467886"/>
            <w:sz w:val="20"/>
            <w:szCs w:val="24"/>
            <w:u w:val="single"/>
            <w:shd w:val="clear" w:color="auto" w:fill="auto"/>
          </w:rPr>
          <w:t>applying to TCC as an F-1 visa student</w:t>
        </w:r>
      </w:hyperlink>
      <w:r w:rsidRPr="00D5258A">
        <w:rPr>
          <w:rFonts w:eastAsia="Calibri"/>
          <w:color w:val="auto"/>
          <w:sz w:val="20"/>
          <w:szCs w:val="24"/>
          <w:shd w:val="clear" w:color="auto" w:fill="auto"/>
        </w:rPr>
        <w:t>.</w:t>
      </w:r>
    </w:p>
    <w:p w14:paraId="1F360EC2"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 xml:space="preserve">Some CTE programs may have additional requirements such as program-specific applications, prerequisite coursework, background checks, or health requirements. Students are encouraged to review program-specific requirements in the college </w:t>
      </w:r>
      <w:hyperlink r:id="rId10">
        <w:r w:rsidRPr="00D5258A">
          <w:rPr>
            <w:rFonts w:eastAsia="Calibri"/>
            <w:color w:val="467886"/>
            <w:sz w:val="20"/>
            <w:szCs w:val="24"/>
            <w:u w:val="single"/>
            <w:shd w:val="clear" w:color="auto" w:fill="auto"/>
          </w:rPr>
          <w:t>Catalog</w:t>
        </w:r>
      </w:hyperlink>
      <w:r w:rsidRPr="00D5258A">
        <w:rPr>
          <w:rFonts w:eastAsia="Calibri"/>
          <w:color w:val="auto"/>
          <w:sz w:val="20"/>
          <w:szCs w:val="24"/>
          <w:shd w:val="clear" w:color="auto" w:fill="auto"/>
        </w:rPr>
        <w:t xml:space="preserve"> or speak with a career advisor.</w:t>
      </w:r>
    </w:p>
    <w:p w14:paraId="77E0FCC5"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This public notice is also provided in Spanish (link will open in a new window).</w:t>
      </w:r>
    </w:p>
    <w:p w14:paraId="0D4DF8AC" w14:textId="77777777" w:rsidR="00D5258A" w:rsidRPr="00D5258A" w:rsidRDefault="00D5258A" w:rsidP="00D5258A">
      <w:pPr>
        <w:widowControl w:val="0"/>
        <w:numPr>
          <w:ilvl w:val="0"/>
          <w:numId w:val="1"/>
        </w:numPr>
        <w:autoSpaceDE w:val="0"/>
        <w:autoSpaceDN w:val="0"/>
        <w:spacing w:after="240" w:line="240" w:lineRule="auto"/>
        <w:contextualSpacing/>
        <w:rPr>
          <w:rFonts w:eastAsia="Calibri"/>
          <w:color w:val="auto"/>
          <w:sz w:val="20"/>
          <w:szCs w:val="24"/>
          <w:shd w:val="clear" w:color="auto" w:fill="auto"/>
        </w:rPr>
      </w:pPr>
      <w:hyperlink r:id="rId11" w:history="1">
        <w:r w:rsidRPr="00D5258A">
          <w:rPr>
            <w:rFonts w:eastAsia="Calibri"/>
            <w:color w:val="467886"/>
            <w:sz w:val="20"/>
            <w:szCs w:val="24"/>
            <w:u w:val="single"/>
            <w:shd w:val="clear" w:color="auto" w:fill="auto"/>
          </w:rPr>
          <w:t>Spanish</w:t>
        </w:r>
      </w:hyperlink>
    </w:p>
    <w:p w14:paraId="03498F91"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rPr>
      </w:pPr>
      <w:r w:rsidRPr="00D5258A">
        <w:rPr>
          <w:rFonts w:eastAsia="Calibri"/>
          <w:color w:val="auto"/>
          <w:sz w:val="20"/>
          <w:szCs w:val="24"/>
          <w:shd w:val="clear" w:color="auto" w:fill="auto"/>
        </w:rPr>
        <w:t xml:space="preserve">The following persons have been designated to handle inquiries regarding TCC’s nondiscrimination policies: </w:t>
      </w:r>
    </w:p>
    <w:p w14:paraId="3815602E" w14:textId="77777777" w:rsidR="00D5258A" w:rsidRPr="00D5258A" w:rsidRDefault="00D5258A" w:rsidP="00D5258A">
      <w:pPr>
        <w:widowControl w:val="0"/>
        <w:autoSpaceDE w:val="0"/>
        <w:autoSpaceDN w:val="0"/>
        <w:spacing w:after="240" w:line="240" w:lineRule="auto"/>
        <w:rPr>
          <w:rFonts w:eastAsia="Calibri"/>
          <w:color w:val="auto"/>
          <w:sz w:val="20"/>
          <w:szCs w:val="24"/>
          <w:shd w:val="clear" w:color="auto" w:fill="auto"/>
          <w:lang w:val="fr-BE"/>
        </w:rPr>
      </w:pPr>
      <w:r w:rsidRPr="00D5258A">
        <w:rPr>
          <w:rFonts w:eastAsia="Calibri"/>
          <w:color w:val="auto"/>
          <w:sz w:val="20"/>
          <w:szCs w:val="24"/>
          <w:shd w:val="clear" w:color="auto" w:fill="auto"/>
        </w:rPr>
        <w:t>District Office</w:t>
      </w:r>
      <w:r w:rsidRPr="00D5258A">
        <w:rPr>
          <w:rFonts w:eastAsia="Calibri"/>
          <w:color w:val="auto"/>
          <w:sz w:val="20"/>
          <w:szCs w:val="24"/>
          <w:shd w:val="clear" w:color="auto" w:fill="auto"/>
        </w:rPr>
        <w:br/>
      </w:r>
      <w:r w:rsidRPr="00D5258A">
        <w:rPr>
          <w:rFonts w:eastAsia="Calibri"/>
          <w:b/>
          <w:bCs/>
          <w:color w:val="auto"/>
          <w:sz w:val="20"/>
          <w:szCs w:val="24"/>
          <w:shd w:val="clear" w:color="auto" w:fill="auto"/>
        </w:rPr>
        <w:t>Daniel Moore</w:t>
      </w:r>
      <w:r w:rsidRPr="00D5258A">
        <w:rPr>
          <w:rFonts w:eastAsia="Calibri"/>
          <w:b/>
          <w:bCs/>
          <w:color w:val="auto"/>
          <w:sz w:val="20"/>
          <w:szCs w:val="24"/>
          <w:shd w:val="clear" w:color="auto" w:fill="auto"/>
        </w:rPr>
        <w:br/>
        <w:t>Interim District Title IX Coordinator</w:t>
      </w:r>
      <w:r w:rsidRPr="00D5258A">
        <w:rPr>
          <w:rFonts w:eastAsia="Calibri"/>
          <w:color w:val="auto"/>
          <w:sz w:val="20"/>
          <w:szCs w:val="24"/>
          <w:shd w:val="clear" w:color="auto" w:fill="auto"/>
        </w:rPr>
        <w:br/>
        <w:t>300 Trinity Campus Circle</w:t>
      </w:r>
      <w:r w:rsidRPr="00D5258A">
        <w:rPr>
          <w:rFonts w:eastAsia="Calibri"/>
          <w:color w:val="auto"/>
          <w:sz w:val="20"/>
          <w:szCs w:val="24"/>
          <w:shd w:val="clear" w:color="auto" w:fill="auto"/>
        </w:rPr>
        <w:br/>
        <w:t>Fort Worth, TX 76102</w:t>
      </w:r>
      <w:r w:rsidRPr="00D5258A">
        <w:rPr>
          <w:rFonts w:eastAsia="Calibri"/>
          <w:color w:val="auto"/>
          <w:sz w:val="20"/>
          <w:szCs w:val="24"/>
          <w:shd w:val="clear" w:color="auto" w:fill="auto"/>
        </w:rPr>
        <w:br/>
        <w:t>TRCF 4400A</w:t>
      </w:r>
      <w:r w:rsidRPr="00D5258A">
        <w:rPr>
          <w:rFonts w:eastAsia="Calibri"/>
          <w:color w:val="auto"/>
          <w:sz w:val="20"/>
          <w:szCs w:val="24"/>
          <w:shd w:val="clear" w:color="auto" w:fill="auto"/>
        </w:rPr>
        <w:br/>
        <w:t>Call: 817-515-5216</w:t>
      </w:r>
      <w:r w:rsidRPr="00D5258A">
        <w:rPr>
          <w:rFonts w:eastAsia="Calibri"/>
          <w:color w:val="auto"/>
          <w:sz w:val="20"/>
          <w:szCs w:val="24"/>
          <w:shd w:val="clear" w:color="auto" w:fill="auto"/>
        </w:rPr>
        <w:br/>
        <w:t>Fax: 817-515-0101 (fax)</w:t>
      </w:r>
      <w:r w:rsidRPr="00D5258A">
        <w:rPr>
          <w:rFonts w:eastAsia="Calibri"/>
          <w:color w:val="auto"/>
          <w:sz w:val="20"/>
          <w:szCs w:val="24"/>
          <w:shd w:val="clear" w:color="auto" w:fill="auto"/>
        </w:rPr>
        <w:br/>
      </w:r>
      <w:r w:rsidRPr="00D5258A">
        <w:rPr>
          <w:rFonts w:eastAsia="Calibri"/>
          <w:color w:val="auto"/>
          <w:sz w:val="20"/>
          <w:szCs w:val="24"/>
          <w:shd w:val="clear" w:color="auto" w:fill="auto"/>
          <w:lang w:val="fr-BE"/>
        </w:rPr>
        <w:t xml:space="preserve">Email: </w:t>
      </w:r>
      <w:hyperlink r:id="rId12" w:history="1">
        <w:r w:rsidRPr="00D5258A">
          <w:rPr>
            <w:rFonts w:eastAsia="Calibri"/>
            <w:color w:val="467886"/>
            <w:sz w:val="20"/>
            <w:szCs w:val="24"/>
            <w:u w:val="single"/>
            <w:shd w:val="clear" w:color="auto" w:fill="auto"/>
            <w:lang w:val="fr-BE"/>
          </w:rPr>
          <w:t>hrtitleix@tccd.edu</w:t>
        </w:r>
      </w:hyperlink>
    </w:p>
    <w:p w14:paraId="521B9FC3" w14:textId="77777777" w:rsidR="001A1A51" w:rsidRDefault="001A1A51"/>
    <w:sectPr w:rsidR="001A1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70212C"/>
    <w:multiLevelType w:val="hybridMultilevel"/>
    <w:tmpl w:val="9E28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83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1" w:cryptProviderType="rsaAES" w:cryptAlgorithmClass="hash" w:cryptAlgorithmType="typeAny" w:cryptAlgorithmSid="14" w:cryptSpinCount="100000" w:hash="lEiXTGXtTESMhSv+g6Pmq4x0BTOipsGWU4bCO8OWxltpAtoXectX8yU3wNrGOGeOuLyKzFPrGGJ+1hvqbGGWMQ==" w:salt="/KyrFRAjX82tVCuqZ0gO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8A"/>
    <w:rsid w:val="00015BA5"/>
    <w:rsid w:val="000F7BB5"/>
    <w:rsid w:val="001A1A51"/>
    <w:rsid w:val="004122A9"/>
    <w:rsid w:val="004C5441"/>
    <w:rsid w:val="009034E1"/>
    <w:rsid w:val="009F6852"/>
    <w:rsid w:val="00B67769"/>
    <w:rsid w:val="00D5258A"/>
    <w:rsid w:val="00D763E3"/>
    <w:rsid w:val="00DB51B3"/>
    <w:rsid w:val="00DD41AF"/>
    <w:rsid w:val="00E90582"/>
    <w:rsid w:val="00F4690B"/>
    <w:rsid w:val="00F6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09C3"/>
  <w15:chartTrackingRefBased/>
  <w15:docId w15:val="{B2DA0294-354E-4A7C-B913-AC1C5053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0B"/>
    <w:pPr>
      <w:spacing w:line="360" w:lineRule="auto"/>
    </w:pPr>
    <w:rPr>
      <w:rFonts w:ascii="Arial" w:hAnsi="Arial" w:cs="Arial"/>
      <w:color w:val="414042"/>
      <w:kern w:val="0"/>
      <w:sz w:val="18"/>
      <w:szCs w:val="18"/>
      <w:shd w:val="clear" w:color="auto" w:fill="FFFFFF"/>
      <w14:ligatures w14:val="none"/>
    </w:rPr>
  </w:style>
  <w:style w:type="paragraph" w:styleId="Heading1">
    <w:name w:val="heading 1"/>
    <w:basedOn w:val="Normal"/>
    <w:next w:val="Normal"/>
    <w:link w:val="Heading1Char"/>
    <w:autoRedefine/>
    <w:uiPriority w:val="9"/>
    <w:qFormat/>
    <w:rsid w:val="00F4690B"/>
    <w:pPr>
      <w:keepNext/>
      <w:keepLines/>
      <w:spacing w:before="240" w:after="0"/>
      <w:outlineLvl w:val="0"/>
    </w:pPr>
    <w:rPr>
      <w:rFonts w:eastAsiaTheme="majorEastAsia"/>
      <w:b/>
      <w:bCs/>
      <w:color w:val="003B76"/>
      <w:sz w:val="36"/>
      <w:szCs w:val="36"/>
    </w:rPr>
  </w:style>
  <w:style w:type="paragraph" w:styleId="Heading2">
    <w:name w:val="heading 2"/>
    <w:basedOn w:val="Normal"/>
    <w:next w:val="Normal"/>
    <w:link w:val="Heading2Char"/>
    <w:autoRedefine/>
    <w:uiPriority w:val="9"/>
    <w:unhideWhenUsed/>
    <w:qFormat/>
    <w:rsid w:val="009F6852"/>
    <w:pPr>
      <w:keepNext/>
      <w:keepLines/>
      <w:spacing w:before="40" w:after="0"/>
      <w:outlineLvl w:val="1"/>
    </w:pPr>
    <w:rPr>
      <w:rFonts w:eastAsiaTheme="majorEastAsia"/>
      <w:b/>
      <w:bCs/>
      <w:color w:val="262626" w:themeColor="text1" w:themeTint="D9"/>
      <w:sz w:val="28"/>
      <w:szCs w:val="28"/>
    </w:rPr>
  </w:style>
  <w:style w:type="paragraph" w:styleId="Heading3">
    <w:name w:val="heading 3"/>
    <w:basedOn w:val="Normal"/>
    <w:next w:val="Normal"/>
    <w:link w:val="Heading3Char"/>
    <w:autoRedefine/>
    <w:uiPriority w:val="9"/>
    <w:unhideWhenUsed/>
    <w:qFormat/>
    <w:rsid w:val="009F6852"/>
    <w:pPr>
      <w:keepNext/>
      <w:keepLines/>
      <w:spacing w:before="40" w:after="0"/>
      <w:outlineLvl w:val="2"/>
    </w:pPr>
    <w:rPr>
      <w:rFonts w:eastAsiaTheme="majorEastAsia"/>
      <w:b/>
      <w:color w:val="003B76"/>
      <w:kern w:val="2"/>
      <w:sz w:val="24"/>
      <w:szCs w:val="24"/>
      <w14:ligatures w14:val="standardContextual"/>
    </w:rPr>
  </w:style>
  <w:style w:type="paragraph" w:styleId="Heading4">
    <w:name w:val="heading 4"/>
    <w:basedOn w:val="Normal"/>
    <w:next w:val="Normal"/>
    <w:link w:val="Heading4Char"/>
    <w:autoRedefine/>
    <w:uiPriority w:val="9"/>
    <w:unhideWhenUsed/>
    <w:qFormat/>
    <w:rsid w:val="00015BA5"/>
    <w:pPr>
      <w:keepNext/>
      <w:keepLines/>
      <w:spacing w:before="80" w:after="0"/>
      <w:outlineLvl w:val="3"/>
    </w:pPr>
    <w:rPr>
      <w:rFonts w:eastAsiaTheme="majorEastAsia"/>
      <w:b/>
      <w:bCs/>
      <w:color w:val="007B96"/>
      <w:sz w:val="20"/>
      <w:szCs w:val="20"/>
    </w:rPr>
  </w:style>
  <w:style w:type="paragraph" w:styleId="Heading5">
    <w:name w:val="heading 5"/>
    <w:basedOn w:val="Normal"/>
    <w:next w:val="Normal"/>
    <w:link w:val="Heading5Char"/>
    <w:uiPriority w:val="9"/>
    <w:unhideWhenUsed/>
    <w:qFormat/>
    <w:rsid w:val="000F7BB5"/>
    <w:pPr>
      <w:keepNext/>
      <w:keepLines/>
      <w:spacing w:before="40" w:after="0"/>
      <w:outlineLvl w:val="4"/>
    </w:pPr>
    <w:rPr>
      <w:rFonts w:eastAsiaTheme="majorEastAsia"/>
      <w:b/>
      <w:bCs/>
      <w:color w:val="262626" w:themeColor="text1" w:themeTint="D9"/>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5441"/>
    <w:pPr>
      <w:spacing w:before="240" w:after="0"/>
      <w:contextualSpacing/>
    </w:pPr>
    <w:rPr>
      <w:rFonts w:eastAsiaTheme="majorEastAsia"/>
      <w:b/>
      <w:bCs/>
      <w:color w:val="003B76"/>
      <w:spacing w:val="-10"/>
      <w:kern w:val="28"/>
      <w:sz w:val="40"/>
      <w:szCs w:val="40"/>
    </w:rPr>
  </w:style>
  <w:style w:type="character" w:customStyle="1" w:styleId="TitleChar">
    <w:name w:val="Title Char"/>
    <w:basedOn w:val="DefaultParagraphFont"/>
    <w:link w:val="Title"/>
    <w:uiPriority w:val="10"/>
    <w:rsid w:val="004C5441"/>
    <w:rPr>
      <w:rFonts w:ascii="Arial" w:eastAsiaTheme="majorEastAsia" w:hAnsi="Arial" w:cs="Arial"/>
      <w:b/>
      <w:bCs/>
      <w:color w:val="003B76"/>
      <w:spacing w:val="-10"/>
      <w:kern w:val="28"/>
      <w:sz w:val="40"/>
      <w:szCs w:val="40"/>
    </w:rPr>
  </w:style>
  <w:style w:type="character" w:customStyle="1" w:styleId="Heading1Char">
    <w:name w:val="Heading 1 Char"/>
    <w:basedOn w:val="DefaultParagraphFont"/>
    <w:link w:val="Heading1"/>
    <w:uiPriority w:val="9"/>
    <w:rsid w:val="00F4690B"/>
    <w:rPr>
      <w:rFonts w:ascii="Arial" w:eastAsiaTheme="majorEastAsia" w:hAnsi="Arial" w:cs="Arial"/>
      <w:b/>
      <w:bCs/>
      <w:color w:val="003B76"/>
      <w:kern w:val="0"/>
      <w:sz w:val="36"/>
      <w:szCs w:val="36"/>
      <w14:ligatures w14:val="none"/>
    </w:rPr>
  </w:style>
  <w:style w:type="character" w:customStyle="1" w:styleId="Heading2Char">
    <w:name w:val="Heading 2 Char"/>
    <w:basedOn w:val="DefaultParagraphFont"/>
    <w:link w:val="Heading2"/>
    <w:uiPriority w:val="9"/>
    <w:rsid w:val="009F6852"/>
    <w:rPr>
      <w:rFonts w:ascii="Arial" w:eastAsiaTheme="majorEastAsia" w:hAnsi="Arial" w:cs="Arial"/>
      <w:b/>
      <w:bCs/>
      <w:color w:val="262626" w:themeColor="text1" w:themeTint="D9"/>
      <w:kern w:val="0"/>
      <w:sz w:val="28"/>
      <w:szCs w:val="28"/>
      <w14:ligatures w14:val="none"/>
    </w:rPr>
  </w:style>
  <w:style w:type="character" w:customStyle="1" w:styleId="Heading3Char">
    <w:name w:val="Heading 3 Char"/>
    <w:basedOn w:val="DefaultParagraphFont"/>
    <w:link w:val="Heading3"/>
    <w:uiPriority w:val="9"/>
    <w:rsid w:val="009F6852"/>
    <w:rPr>
      <w:rFonts w:ascii="Arial" w:eastAsiaTheme="majorEastAsia" w:hAnsi="Arial" w:cs="Arial"/>
      <w:b/>
      <w:color w:val="003B76"/>
    </w:rPr>
  </w:style>
  <w:style w:type="character" w:customStyle="1" w:styleId="Heading4Char">
    <w:name w:val="Heading 4 Char"/>
    <w:basedOn w:val="DefaultParagraphFont"/>
    <w:link w:val="Heading4"/>
    <w:uiPriority w:val="9"/>
    <w:rsid w:val="00015BA5"/>
    <w:rPr>
      <w:rFonts w:ascii="Arial" w:eastAsiaTheme="majorEastAsia" w:hAnsi="Arial" w:cs="Arial"/>
      <w:b/>
      <w:bCs/>
      <w:color w:val="007B96"/>
      <w:kern w:val="0"/>
      <w:sz w:val="20"/>
      <w:szCs w:val="20"/>
      <w14:ligatures w14:val="none"/>
    </w:rPr>
  </w:style>
  <w:style w:type="character" w:customStyle="1" w:styleId="Heading5Char">
    <w:name w:val="Heading 5 Char"/>
    <w:basedOn w:val="DefaultParagraphFont"/>
    <w:link w:val="Heading5"/>
    <w:uiPriority w:val="9"/>
    <w:rsid w:val="000F7BB5"/>
    <w:rPr>
      <w:rFonts w:ascii="Arial" w:eastAsiaTheme="majorEastAsia" w:hAnsi="Arial" w:cs="Arial"/>
      <w:b/>
      <w:bCs/>
      <w:color w:val="262626" w:themeColor="text1" w:themeTint="D9"/>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cd.edu/admi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catalog.tccd.edu/ceprogramlist" TargetMode="External"/><Relationship Id="rId12" Type="http://schemas.openxmlformats.org/officeDocument/2006/relationships/hyperlink" Target="mailto:hrtitleix@t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tccd.edu/programlist" TargetMode="External"/><Relationship Id="rId11" Type="http://schemas.openxmlformats.org/officeDocument/2006/relationships/hyperlink" Target="https://www.tccd.edu/documents/about/legal/cte-notice/cte-notice-spanish.docx" TargetMode="External"/><Relationship Id="rId5" Type="http://schemas.openxmlformats.org/officeDocument/2006/relationships/hyperlink" Target="https://www.tccd.edu/locations/" TargetMode="External"/><Relationship Id="rId10" Type="http://schemas.openxmlformats.org/officeDocument/2006/relationships/hyperlink" Target="https://catalog.tccd.edu/" TargetMode="External"/><Relationship Id="rId4" Type="http://schemas.openxmlformats.org/officeDocument/2006/relationships/webSettings" Target="webSettings.xml"/><Relationship Id="rId9" Type="http://schemas.openxmlformats.org/officeDocument/2006/relationships/hyperlink" Target="https://www.tccd.edu/admission/how-to-apply/international/apply-to-t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2756</Characters>
  <Application>Microsoft Office Word</Application>
  <DocSecurity>10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AMY</dc:creator>
  <cp:keywords/>
  <dc:description/>
  <cp:lastModifiedBy>VO, AMY</cp:lastModifiedBy>
  <cp:revision>2</cp:revision>
  <dcterms:created xsi:type="dcterms:W3CDTF">2026-06-08T16:04:00Z</dcterms:created>
  <dcterms:modified xsi:type="dcterms:W3CDTF">2026-06-08T16:05:00Z</dcterms:modified>
</cp:coreProperties>
</file>